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99" w:rsidRP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sz w:val="44"/>
          <w:szCs w:val="44"/>
          <w:lang w:eastAsia="nl-NL"/>
        </w:rPr>
      </w:pPr>
      <w:r w:rsidRPr="00DC3D99">
        <w:rPr>
          <w:rFonts w:ascii="Arial" w:eastAsia="Times New Roman" w:hAnsi="Arial" w:cs="Arial"/>
          <w:b/>
          <w:sz w:val="44"/>
          <w:szCs w:val="44"/>
          <w:lang w:eastAsia="nl-NL"/>
        </w:rPr>
        <w:t xml:space="preserve">Protocol  </w:t>
      </w:r>
    </w:p>
    <w:p w:rsidR="00DC3D99" w:rsidRP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sz w:val="36"/>
          <w:szCs w:val="36"/>
          <w:lang w:eastAsia="nl-NL"/>
        </w:rPr>
      </w:pPr>
      <w:r w:rsidRPr="00DC3D99">
        <w:rPr>
          <w:rFonts w:ascii="Arial" w:eastAsia="Times New Roman" w:hAnsi="Arial" w:cs="Arial"/>
          <w:sz w:val="36"/>
          <w:szCs w:val="36"/>
          <w:lang w:eastAsia="nl-NL"/>
        </w:rPr>
        <w:t xml:space="preserve">Maken van een </w:t>
      </w:r>
      <w:r w:rsidR="00C82A91">
        <w:rPr>
          <w:rFonts w:ascii="Arial" w:eastAsia="Times New Roman" w:hAnsi="Arial" w:cs="Arial"/>
          <w:sz w:val="36"/>
          <w:szCs w:val="36"/>
          <w:lang w:eastAsia="nl-NL"/>
        </w:rPr>
        <w:t>e</w:t>
      </w:r>
      <w:bookmarkStart w:id="0" w:name="_GoBack"/>
      <w:bookmarkEnd w:id="0"/>
      <w:r w:rsidRPr="00DC3D99">
        <w:rPr>
          <w:rFonts w:ascii="Arial" w:eastAsia="Times New Roman" w:hAnsi="Arial" w:cs="Arial"/>
          <w:sz w:val="36"/>
          <w:szCs w:val="36"/>
          <w:lang w:eastAsia="nl-NL"/>
        </w:rPr>
        <w:t>nkel</w:t>
      </w:r>
      <w:r w:rsidRPr="00DC3D99">
        <w:rPr>
          <w:rFonts w:ascii="Arial" w:eastAsia="Times New Roman" w:hAnsi="Arial" w:cs="Arial"/>
          <w:sz w:val="36"/>
          <w:szCs w:val="36"/>
          <w:lang w:eastAsia="nl-NL"/>
        </w:rPr>
        <w:t>-</w:t>
      </w:r>
      <w:r w:rsidRPr="00DC3D99">
        <w:rPr>
          <w:rFonts w:ascii="Arial" w:eastAsia="Times New Roman" w:hAnsi="Arial" w:cs="Arial"/>
          <w:sz w:val="36"/>
          <w:szCs w:val="36"/>
          <w:lang w:eastAsia="nl-NL"/>
        </w:rPr>
        <w:t>armindex</w:t>
      </w:r>
    </w:p>
    <w:p w:rsidR="00D004DA" w:rsidRDefault="00D004DA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C3D99" w:rsidRPr="00A340F7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lang w:eastAsia="nl-NL"/>
        </w:rPr>
      </w:pPr>
      <w:r w:rsidRPr="00A340F7">
        <w:rPr>
          <w:rFonts w:ascii="Arial" w:eastAsia="Times New Roman" w:hAnsi="Arial" w:cs="Arial"/>
          <w:b/>
          <w:lang w:eastAsia="nl-NL"/>
        </w:rPr>
        <w:t>Doel</w:t>
      </w:r>
    </w:p>
    <w:p w:rsidR="00DC3D99" w:rsidRPr="00A340F7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lang w:eastAsia="nl-NL"/>
        </w:rPr>
      </w:pPr>
      <w:r w:rsidRPr="00A340F7">
        <w:rPr>
          <w:rFonts w:ascii="Arial" w:eastAsia="Times New Roman" w:hAnsi="Arial" w:cs="Arial"/>
          <w:b/>
          <w:lang w:eastAsia="nl-NL"/>
        </w:rPr>
        <w:t>Indicaties</w:t>
      </w:r>
    </w:p>
    <w:p w:rsidR="00DC3D99" w:rsidRPr="00A340F7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lang w:eastAsia="nl-NL"/>
        </w:rPr>
      </w:pPr>
      <w:r w:rsidRPr="00A340F7">
        <w:rPr>
          <w:rFonts w:ascii="Arial" w:eastAsia="Times New Roman" w:hAnsi="Arial" w:cs="Arial"/>
          <w:b/>
          <w:lang w:eastAsia="nl-NL"/>
        </w:rPr>
        <w:t>Contra-indicaties</w:t>
      </w:r>
    </w:p>
    <w:p w:rsidR="00D004DA" w:rsidRPr="00A340F7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lang w:eastAsia="nl-NL"/>
        </w:rPr>
      </w:pPr>
      <w:r w:rsidRPr="00A340F7">
        <w:rPr>
          <w:rFonts w:ascii="Arial" w:eastAsia="Times New Roman" w:hAnsi="Arial" w:cs="Arial"/>
          <w:b/>
          <w:lang w:eastAsia="nl-NL"/>
        </w:rPr>
        <w:t>Mogelijke complicaties</w:t>
      </w:r>
    </w:p>
    <w:p w:rsidR="00D004DA" w:rsidRDefault="00D004DA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04DA" w:rsidTr="00D004DA">
        <w:tc>
          <w:tcPr>
            <w:tcW w:w="2972" w:type="dxa"/>
          </w:tcPr>
          <w:p w:rsidR="00D004DA" w:rsidRDefault="00D004DA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  <w:r w:rsidRPr="00D004DA">
              <w:rPr>
                <w:rFonts w:ascii="Arial" w:eastAsia="Times New Roman" w:hAnsi="Arial" w:cs="Arial"/>
                <w:lang w:eastAsia="nl-NL"/>
              </w:rPr>
              <w:t xml:space="preserve">invoering-/wijzigingsdatum </w:t>
            </w:r>
          </w:p>
        </w:tc>
        <w:tc>
          <w:tcPr>
            <w:tcW w:w="6090" w:type="dxa"/>
          </w:tcPr>
          <w:p w:rsidR="00D004DA" w:rsidRDefault="00D004DA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004DA" w:rsidTr="00D004DA">
        <w:tc>
          <w:tcPr>
            <w:tcW w:w="2972" w:type="dxa"/>
          </w:tcPr>
          <w:p w:rsidR="00D004DA" w:rsidRDefault="00D004DA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  <w:r w:rsidRPr="00D004DA">
              <w:rPr>
                <w:rFonts w:ascii="Arial" w:eastAsia="Times New Roman" w:hAnsi="Arial" w:cs="Arial"/>
                <w:lang w:eastAsia="nl-NL"/>
              </w:rPr>
              <w:t>paraaf/naam/functie</w:t>
            </w:r>
          </w:p>
        </w:tc>
        <w:tc>
          <w:tcPr>
            <w:tcW w:w="6090" w:type="dxa"/>
          </w:tcPr>
          <w:p w:rsidR="00D004DA" w:rsidRDefault="00D004DA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004DA" w:rsidRDefault="00D004DA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D99" w:rsidTr="00DC3D99">
        <w:tc>
          <w:tcPr>
            <w:tcW w:w="4531" w:type="dxa"/>
            <w:shd w:val="clear" w:color="auto" w:fill="D5DCE4" w:themeFill="text2" w:themeFillTint="33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3D99">
              <w:rPr>
                <w:rFonts w:ascii="Arial" w:eastAsia="Times New Roman" w:hAnsi="Arial" w:cs="Arial"/>
                <w:b/>
                <w:lang w:eastAsia="nl-NL"/>
              </w:rPr>
              <w:t>Benodigdheden</w:t>
            </w:r>
          </w:p>
        </w:tc>
        <w:tc>
          <w:tcPr>
            <w:tcW w:w="4531" w:type="dxa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3D99">
              <w:rPr>
                <w:rFonts w:ascii="Arial" w:eastAsia="Times New Roman" w:hAnsi="Arial" w:cs="Arial"/>
                <w:b/>
                <w:lang w:eastAsia="nl-NL"/>
              </w:rPr>
              <w:t>Opmerkingen</w:t>
            </w:r>
          </w:p>
        </w:tc>
      </w:tr>
      <w:tr w:rsidR="00DC3D99" w:rsidTr="00DC3D99"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  <w:shd w:val="clear" w:color="auto" w:fill="D5DCE4" w:themeFill="text2" w:themeFillTint="33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3D99">
              <w:rPr>
                <w:rFonts w:ascii="Arial" w:eastAsia="Times New Roman" w:hAnsi="Arial" w:cs="Arial"/>
                <w:b/>
                <w:lang w:eastAsia="nl-NL"/>
              </w:rPr>
              <w:t>Werkwijze</w:t>
            </w:r>
          </w:p>
        </w:tc>
        <w:tc>
          <w:tcPr>
            <w:tcW w:w="4531" w:type="dxa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3D99">
              <w:rPr>
                <w:rFonts w:ascii="Arial" w:eastAsia="Times New Roman" w:hAnsi="Arial" w:cs="Arial"/>
                <w:b/>
                <w:lang w:eastAsia="nl-NL"/>
              </w:rPr>
              <w:t>Opmerkingen</w:t>
            </w:r>
          </w:p>
        </w:tc>
      </w:tr>
      <w:tr w:rsidR="00DC3D99" w:rsidTr="00DC3D99">
        <w:tc>
          <w:tcPr>
            <w:tcW w:w="4531" w:type="dxa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i/>
                <w:lang w:eastAsia="nl-NL"/>
              </w:rPr>
            </w:pPr>
            <w:r w:rsidRPr="00D004DA">
              <w:rPr>
                <w:rFonts w:ascii="Arial" w:eastAsia="Times New Roman" w:hAnsi="Arial" w:cs="Arial"/>
                <w:i/>
                <w:color w:val="0070C0"/>
                <w:lang w:eastAsia="nl-NL"/>
              </w:rPr>
              <w:t>Voorbereiding</w:t>
            </w: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i/>
                <w:lang w:eastAsia="nl-NL"/>
              </w:rPr>
            </w:pPr>
            <w:r w:rsidRPr="00D004DA">
              <w:rPr>
                <w:rFonts w:ascii="Arial" w:eastAsia="Times New Roman" w:hAnsi="Arial" w:cs="Arial"/>
                <w:i/>
                <w:color w:val="0070C0"/>
                <w:lang w:eastAsia="nl-NL"/>
              </w:rPr>
              <w:t>Nazorg</w:t>
            </w: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  <w:shd w:val="clear" w:color="auto" w:fill="D5DCE4" w:themeFill="text2" w:themeFillTint="33"/>
          </w:tcPr>
          <w:p w:rsidR="00DC3D99" w:rsidRP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3D99">
              <w:rPr>
                <w:rFonts w:ascii="Arial" w:eastAsia="Times New Roman" w:hAnsi="Arial" w:cs="Arial"/>
                <w:b/>
                <w:lang w:eastAsia="nl-NL"/>
              </w:rPr>
              <w:t>Verslaglegging</w:t>
            </w: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3D99" w:rsidTr="00DC3D99"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531" w:type="dxa"/>
          </w:tcPr>
          <w:p w:rsidR="00DC3D99" w:rsidRDefault="00DC3D99" w:rsidP="00DC3D99">
            <w:pPr>
              <w:spacing w:after="150" w:line="300" w:lineRule="atLeast"/>
              <w:outlineLvl w:val="1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DC3D99" w:rsidRP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C3D99" w:rsidRP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  <w:r w:rsidRPr="00DC3D99">
        <w:rPr>
          <w:rFonts w:ascii="Arial" w:eastAsia="Times New Roman" w:hAnsi="Arial" w:cs="Arial"/>
          <w:lang w:eastAsia="nl-NL"/>
        </w:rPr>
        <w:t>Bijlage</w:t>
      </w:r>
      <w:r w:rsidR="00D004DA">
        <w:rPr>
          <w:rFonts w:ascii="Arial" w:eastAsia="Times New Roman" w:hAnsi="Arial" w:cs="Arial"/>
          <w:lang w:eastAsia="nl-NL"/>
        </w:rPr>
        <w:t>(n)</w:t>
      </w:r>
    </w:p>
    <w:p w:rsidR="00DE57AB" w:rsidRPr="00DC3D99" w:rsidRDefault="00DE57AB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C3D99" w:rsidRPr="00D004DA" w:rsidRDefault="00DC3D99" w:rsidP="00D004DA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  <w:r w:rsidRPr="00DC3D99">
        <w:rPr>
          <w:rFonts w:ascii="Arial" w:eastAsia="Times New Roman" w:hAnsi="Arial" w:cs="Arial"/>
          <w:lang w:eastAsia="nl-NL"/>
        </w:rPr>
        <w:t>Bronvermelding</w:t>
      </w:r>
    </w:p>
    <w:p w:rsidR="00DC3D99" w:rsidRPr="00DC3D99" w:rsidRDefault="00DC3D99" w:rsidP="00DC3D99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lang w:eastAsia="nl-NL"/>
        </w:rPr>
      </w:pPr>
    </w:p>
    <w:p w:rsidR="00DC3D99" w:rsidRDefault="00DC3D99" w:rsidP="00DC3D99">
      <w:pPr>
        <w:shd w:val="clear" w:color="auto" w:fill="FFFFFF"/>
        <w:tabs>
          <w:tab w:val="left" w:pos="984"/>
        </w:tabs>
        <w:spacing w:after="150" w:line="300" w:lineRule="atLeast"/>
        <w:outlineLvl w:val="1"/>
        <w:rPr>
          <w:rFonts w:ascii="Arial" w:eastAsia="Times New Roman" w:hAnsi="Arial" w:cs="Arial"/>
          <w:sz w:val="30"/>
          <w:szCs w:val="30"/>
          <w:lang w:eastAsia="nl-NL"/>
        </w:rPr>
      </w:pPr>
    </w:p>
    <w:p w:rsidR="00DE57AB" w:rsidRDefault="00DE57AB" w:rsidP="00DE57AB">
      <w:pPr>
        <w:shd w:val="clear" w:color="auto" w:fill="FFFFFF"/>
        <w:tabs>
          <w:tab w:val="left" w:pos="984"/>
        </w:tabs>
        <w:spacing w:after="150" w:line="300" w:lineRule="atLeast"/>
        <w:outlineLvl w:val="1"/>
        <w:rPr>
          <w:rFonts w:ascii="Arial" w:eastAsia="Times New Roman" w:hAnsi="Arial" w:cs="Arial"/>
          <w:sz w:val="30"/>
          <w:szCs w:val="30"/>
          <w:lang w:eastAsia="nl-NL"/>
        </w:rPr>
      </w:pPr>
    </w:p>
    <w:p w:rsidR="002A2A7A" w:rsidRPr="002A2A7A" w:rsidRDefault="00DE57AB" w:rsidP="00DE57AB">
      <w:pPr>
        <w:shd w:val="clear" w:color="auto" w:fill="FFFFFF"/>
        <w:tabs>
          <w:tab w:val="left" w:pos="984"/>
        </w:tabs>
        <w:spacing w:after="150" w:line="300" w:lineRule="atLeast"/>
        <w:outlineLvl w:val="1"/>
        <w:rPr>
          <w:rFonts w:ascii="Arial" w:eastAsia="Times New Roman" w:hAnsi="Arial" w:cs="Arial"/>
          <w:sz w:val="30"/>
          <w:szCs w:val="30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lastRenderedPageBreak/>
        <w:t xml:space="preserve"> </w:t>
      </w:r>
      <w:hyperlink r:id="rId7" w:tgtFrame="_blank" w:history="1">
        <w:r w:rsidR="002A2A7A" w:rsidRPr="002A2A7A">
          <w:rPr>
            <w:rFonts w:ascii="Arial" w:eastAsia="Times New Roman" w:hAnsi="Arial" w:cs="Arial"/>
            <w:b/>
            <w:bCs/>
            <w:color w:val="0E1CB3"/>
            <w:sz w:val="24"/>
            <w:szCs w:val="24"/>
            <w:lang w:eastAsia="nl-NL"/>
          </w:rPr>
          <w:t>Protocollen</w:t>
        </w:r>
        <w:r w:rsidR="002A2A7A" w:rsidRPr="002A2A7A">
          <w:rPr>
            <w:rFonts w:ascii="Arial" w:eastAsia="Times New Roman" w:hAnsi="Arial" w:cs="Arial"/>
            <w:color w:val="0E1CB3"/>
            <w:sz w:val="24"/>
            <w:szCs w:val="24"/>
            <w:lang w:eastAsia="nl-NL"/>
          </w:rPr>
          <w:t xml:space="preserve"> zorginhoudelijke </w:t>
        </w:r>
        <w:r w:rsidR="002A2A7A" w:rsidRPr="002A2A7A">
          <w:rPr>
            <w:rFonts w:ascii="Arial" w:eastAsia="Times New Roman" w:hAnsi="Arial" w:cs="Arial"/>
            <w:b/>
            <w:bCs/>
            <w:color w:val="0E1CB3"/>
            <w:sz w:val="24"/>
            <w:szCs w:val="24"/>
            <w:lang w:eastAsia="nl-NL"/>
          </w:rPr>
          <w:t>handelingen</w:t>
        </w:r>
        <w:r w:rsidR="002A2A7A" w:rsidRPr="002A2A7A">
          <w:rPr>
            <w:rFonts w:ascii="Arial" w:eastAsia="Times New Roman" w:hAnsi="Arial" w:cs="Arial"/>
            <w:color w:val="0E1CB3"/>
            <w:sz w:val="24"/>
            <w:szCs w:val="24"/>
            <w:lang w:eastAsia="nl-NL"/>
          </w:rPr>
          <w:t xml:space="preserve"> | V&amp;VN</w:t>
        </w:r>
      </w:hyperlink>
    </w:p>
    <w:p w:rsidR="002A2A7A" w:rsidRPr="002A2A7A" w:rsidRDefault="002A2A7A" w:rsidP="002A2A7A">
      <w:pPr>
        <w:wordWrap w:val="0"/>
        <w:spacing w:beforeAutospacing="1" w:after="30" w:line="240" w:lineRule="atLeast"/>
        <w:ind w:left="60"/>
        <w:rPr>
          <w:rFonts w:ascii="Arial" w:eastAsia="Times New Roman" w:hAnsi="Arial" w:cs="Arial"/>
          <w:color w:val="00802A"/>
          <w:sz w:val="21"/>
          <w:szCs w:val="21"/>
          <w:lang w:eastAsia="nl-NL"/>
        </w:rPr>
      </w:pPr>
      <w:r w:rsidRPr="002A2A7A">
        <w:rPr>
          <w:rFonts w:ascii="Arial" w:eastAsia="Times New Roman" w:hAnsi="Arial" w:cs="Arial"/>
          <w:color w:val="00802A"/>
          <w:sz w:val="21"/>
          <w:szCs w:val="21"/>
          <w:lang w:eastAsia="nl-NL"/>
        </w:rPr>
        <w:t>https://www.venvn.nl/themas/richtlijnen-en-protocollen/protocollen</w:t>
      </w:r>
    </w:p>
    <w:p w:rsidR="002A2A7A" w:rsidRPr="002A2A7A" w:rsidRDefault="002A2A7A" w:rsidP="002A2A7A">
      <w:pPr>
        <w:spacing w:beforeAutospacing="1" w:after="0" w:line="240" w:lineRule="atLeast"/>
        <w:ind w:left="60"/>
        <w:rPr>
          <w:rFonts w:ascii="Arial" w:eastAsia="Times New Roman" w:hAnsi="Arial" w:cs="Arial"/>
          <w:color w:val="171717"/>
          <w:sz w:val="20"/>
          <w:szCs w:val="20"/>
          <w:lang w:eastAsia="nl-NL"/>
        </w:rPr>
      </w:pP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 xml:space="preserve">Een </w:t>
      </w:r>
      <w:r w:rsidRPr="002A2A7A">
        <w:rPr>
          <w:rFonts w:ascii="Arial" w:eastAsia="Times New Roman" w:hAnsi="Arial" w:cs="Arial"/>
          <w:b/>
          <w:bCs/>
          <w:color w:val="171717"/>
          <w:sz w:val="20"/>
          <w:szCs w:val="20"/>
          <w:lang w:eastAsia="nl-NL"/>
        </w:rPr>
        <w:t>protocol</w:t>
      </w: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 xml:space="preserve"> geeft stap voor stap aan hoe iets gedaan moet worden. Een </w:t>
      </w:r>
      <w:r w:rsidRPr="002A2A7A">
        <w:rPr>
          <w:rFonts w:ascii="Arial" w:eastAsia="Times New Roman" w:hAnsi="Arial" w:cs="Arial"/>
          <w:b/>
          <w:bCs/>
          <w:color w:val="171717"/>
          <w:sz w:val="20"/>
          <w:szCs w:val="20"/>
          <w:lang w:eastAsia="nl-NL"/>
        </w:rPr>
        <w:t>protocol</w:t>
      </w: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 xml:space="preserve"> is een voorschrift of middel om tot kwalitatief goede en verantwoorde zorg te komen. Onderstaande structuur van een </w:t>
      </w:r>
      <w:r w:rsidRPr="002A2A7A">
        <w:rPr>
          <w:rFonts w:ascii="Arial" w:eastAsia="Times New Roman" w:hAnsi="Arial" w:cs="Arial"/>
          <w:b/>
          <w:bCs/>
          <w:color w:val="171717"/>
          <w:sz w:val="20"/>
          <w:szCs w:val="20"/>
          <w:lang w:eastAsia="nl-NL"/>
        </w:rPr>
        <w:t>protocol</w:t>
      </w: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 xml:space="preserve"> komt uit '</w:t>
      </w:r>
      <w:r w:rsidRPr="002A2A7A">
        <w:rPr>
          <w:rFonts w:ascii="Arial" w:eastAsia="Times New Roman" w:hAnsi="Arial" w:cs="Arial"/>
          <w:b/>
          <w:bCs/>
          <w:color w:val="171717"/>
          <w:sz w:val="20"/>
          <w:szCs w:val="20"/>
          <w:lang w:eastAsia="nl-NL"/>
        </w:rPr>
        <w:t>Protocollen</w:t>
      </w: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 xml:space="preserve"> en observatieschalen </w:t>
      </w:r>
      <w:r w:rsidRPr="002A2A7A">
        <w:rPr>
          <w:rFonts w:ascii="Arial" w:eastAsia="Times New Roman" w:hAnsi="Arial" w:cs="Arial"/>
          <w:b/>
          <w:bCs/>
          <w:color w:val="171717"/>
          <w:sz w:val="20"/>
          <w:szCs w:val="20"/>
          <w:lang w:eastAsia="nl-NL"/>
        </w:rPr>
        <w:t>medisch technische handelingen</w:t>
      </w:r>
      <w:r w:rsidRPr="002A2A7A">
        <w:rPr>
          <w:rFonts w:ascii="Arial" w:eastAsia="Times New Roman" w:hAnsi="Arial" w:cs="Arial"/>
          <w:color w:val="171717"/>
          <w:sz w:val="20"/>
          <w:szCs w:val="20"/>
          <w:lang w:eastAsia="nl-NL"/>
        </w:rPr>
        <w:t>' (Cuperus e.a., 1995). onderwerp ...</w:t>
      </w:r>
    </w:p>
    <w:p w:rsidR="003D2A81" w:rsidRPr="003D2A81" w:rsidRDefault="003D2A81" w:rsidP="003D2A8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b/>
          <w:bCs/>
          <w:color w:val="333333"/>
          <w:lang w:val="en" w:eastAsia="nl-NL"/>
        </w:rPr>
        <w:t>Protocollen</w:t>
      </w:r>
      <w:proofErr w:type="spellEnd"/>
      <w:r w:rsidRPr="003D2A81">
        <w:rPr>
          <w:rFonts w:ascii="inherit" w:eastAsia="Times New Roman" w:hAnsi="inherit" w:cs="Arial"/>
          <w:b/>
          <w:bCs/>
          <w:color w:val="333333"/>
          <w:lang w:val="en" w:eastAsia="nl-NL"/>
        </w:rPr>
        <w:t xml:space="preserve"> </w:t>
      </w:r>
    </w:p>
    <w:p w:rsidR="003D2A81" w:rsidRPr="003D2A81" w:rsidRDefault="003D2A81" w:rsidP="003D2A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dient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de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zorgverlener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het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uitvoeren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zorginhoudelijke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handelingen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.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het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maken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kan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de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structuur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van Cuperus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aangehouden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worden</w:t>
      </w:r>
      <w:proofErr w:type="spellEnd"/>
      <w:r w:rsidRPr="003D2A81">
        <w:rPr>
          <w:rFonts w:ascii="Arial" w:eastAsia="Times New Roman" w:hAnsi="Arial" w:cs="Arial"/>
          <w:b/>
          <w:bCs/>
          <w:color w:val="555555"/>
          <w:sz w:val="21"/>
          <w:szCs w:val="21"/>
          <w:lang w:val="en" w:eastAsia="nl-NL"/>
        </w:rPr>
        <w:t>.</w:t>
      </w: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is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document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dat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tot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doel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heeft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zorgverleners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ondersteunen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het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uitvoeren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zorginhoudelijke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handelingen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. Het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geeft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dus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aan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hoe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handeling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uitgevoerd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kan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worden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. De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vrijheid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handelen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is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beperkt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, in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tegenstelling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tot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richtlijn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.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geeft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stap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voor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stap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aan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hoe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iets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gedaan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moet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worden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.</w:t>
      </w: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is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voorschrift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of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middel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om tot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kwalitatief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goede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en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verantwoorde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zorg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komen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.</w:t>
      </w: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Onderstaande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structuur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komt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uit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'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Protocollen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en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observatieschalen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medisch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technische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handelingen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' (Cuperus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e.a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., 1995)</w:t>
      </w:r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onderwerp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doel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uitvoering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indicaties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contra-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indicaties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(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mogelijke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)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complicaties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datum</w:t>
      </w:r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benodigdheden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werkwijze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verslaglegging</w:t>
      </w:r>
      <w:proofErr w:type="spellEnd"/>
    </w:p>
    <w:p w:rsidR="003D2A81" w:rsidRPr="003D2A81" w:rsidRDefault="003D2A81" w:rsidP="003D2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bijlagen</w:t>
      </w:r>
      <w:proofErr w:type="spellEnd"/>
    </w:p>
    <w:p w:rsidR="003D2A81" w:rsidRPr="003D2A81" w:rsidRDefault="003D2A81" w:rsidP="003D2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</w:pPr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br/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dient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,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waar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mogelijk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,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korte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omschrijving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deze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onderdelen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te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geven.De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gegeven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structuur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kan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helpen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bij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het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vaststellen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de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minimale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kwaliteitseisen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van </w:t>
      </w:r>
      <w:proofErr w:type="spellStart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>een</w:t>
      </w:r>
      <w:proofErr w:type="spellEnd"/>
      <w:r w:rsidRPr="003D2A81">
        <w:rPr>
          <w:rFonts w:ascii="Arial" w:eastAsia="Times New Roman" w:hAnsi="Arial" w:cs="Arial"/>
          <w:color w:val="555555"/>
          <w:sz w:val="21"/>
          <w:szCs w:val="21"/>
          <w:lang w:val="en" w:eastAsia="nl-NL"/>
        </w:rPr>
        <w:t xml:space="preserve"> protocol.</w:t>
      </w:r>
    </w:p>
    <w:p w:rsidR="002A2A7A" w:rsidRDefault="002A2A7A" w:rsidP="009145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color w:val="2FB7E6"/>
          <w:kern w:val="36"/>
          <w:sz w:val="36"/>
          <w:szCs w:val="36"/>
          <w:lang w:eastAsia="nl-NL"/>
        </w:rPr>
      </w:pPr>
    </w:p>
    <w:p w:rsidR="005B26F1" w:rsidRDefault="005B26F1" w:rsidP="009145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color w:val="2FB7E6"/>
          <w:kern w:val="36"/>
          <w:sz w:val="36"/>
          <w:szCs w:val="36"/>
          <w:lang w:eastAsia="nl-NL"/>
        </w:rPr>
      </w:pPr>
    </w:p>
    <w:p w:rsidR="005B26F1" w:rsidRDefault="005B26F1" w:rsidP="009145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color w:val="2FB7E6"/>
          <w:kern w:val="36"/>
          <w:sz w:val="36"/>
          <w:szCs w:val="36"/>
          <w:lang w:eastAsia="nl-NL"/>
        </w:rPr>
      </w:pPr>
    </w:p>
    <w:p w:rsidR="005B26F1" w:rsidRDefault="005B26F1" w:rsidP="009145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color w:val="2FB7E6"/>
          <w:kern w:val="36"/>
          <w:sz w:val="36"/>
          <w:szCs w:val="36"/>
          <w:lang w:eastAsia="nl-NL"/>
        </w:rPr>
      </w:pPr>
    </w:p>
    <w:p w:rsidR="005B26F1" w:rsidRPr="003D2A81" w:rsidRDefault="005B26F1" w:rsidP="009145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color w:val="2FB7E6"/>
          <w:kern w:val="36"/>
          <w:sz w:val="36"/>
          <w:szCs w:val="36"/>
          <w:lang w:eastAsia="nl-NL"/>
        </w:rPr>
      </w:pPr>
    </w:p>
    <w:p w:rsidR="00914527" w:rsidRPr="00914527" w:rsidRDefault="00914527" w:rsidP="0091452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i/>
          <w:iCs/>
          <w:color w:val="2FB7E6"/>
          <w:kern w:val="36"/>
          <w:sz w:val="28"/>
          <w:szCs w:val="28"/>
          <w:lang w:eastAsia="nl-NL"/>
        </w:rPr>
      </w:pPr>
      <w:r w:rsidRPr="00914527">
        <w:rPr>
          <w:rFonts w:ascii="Georgia" w:eastAsia="Times New Roman" w:hAnsi="Georgia" w:cs="Arial"/>
          <w:i/>
          <w:iCs/>
          <w:color w:val="2FB7E6"/>
          <w:kern w:val="36"/>
          <w:sz w:val="28"/>
          <w:szCs w:val="28"/>
          <w:lang w:eastAsia="nl-NL"/>
        </w:rPr>
        <w:t>Welkom op Medisch-technisch handelen voor doktersassistenten</w:t>
      </w:r>
    </w:p>
    <w:p w:rsid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noProof/>
          <w:color w:val="454545"/>
          <w:sz w:val="18"/>
          <w:szCs w:val="18"/>
          <w:lang w:eastAsia="nl-NL"/>
        </w:rPr>
        <w:lastRenderedPageBreak/>
        <w:drawing>
          <wp:inline distT="0" distB="0" distL="0" distR="0" wp14:anchorId="539CAE49" wp14:editId="0B3DF908">
            <wp:extent cx="1211580" cy="1722120"/>
            <wp:effectExtent l="0" t="0" r="7620" b="0"/>
            <wp:docPr id="1" name="Afbeelding 1" descr="Omslag Medisch-technisch handelen voor doktersassiste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slag Medisch-technisch handelen voor doktersassisten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Op deze website vindt u de integrale inhoud van het boek </w:t>
      </w:r>
      <w:r w:rsidRPr="00914527">
        <w:rPr>
          <w:rFonts w:ascii="Arial" w:eastAsia="Times New Roman" w:hAnsi="Arial" w:cs="Arial"/>
          <w:i/>
          <w:iCs/>
          <w:color w:val="454545"/>
          <w:sz w:val="18"/>
          <w:szCs w:val="18"/>
          <w:lang w:eastAsia="nl-NL"/>
        </w:rPr>
        <w:t>Medisch-technisch handelen voor doktersassistenten,</w:t>
      </w: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 ruim 40 protocollen van verpleegtechnische handelingen, twee interactieve toetsen en ruim 30 instructieve video's.</w:t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U dient zich eenmalig te registreren en een inlogaccount aan te maken. Ga daarvoor naar </w:t>
      </w:r>
      <w:hyperlink r:id="rId9" w:history="1">
        <w:r w:rsidRPr="00914527">
          <w:rPr>
            <w:rFonts w:ascii="Arial" w:eastAsia="Times New Roman" w:hAnsi="Arial" w:cs="Arial"/>
            <w:i/>
            <w:iCs/>
            <w:color w:val="2FB7E6"/>
            <w:sz w:val="18"/>
            <w:szCs w:val="18"/>
            <w:lang w:eastAsia="nl-NL"/>
          </w:rPr>
          <w:t>registreren</w:t>
        </w:r>
      </w:hyperlink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 en houdt de activeringscode die voorin uw boek staat bij de hand.</w:t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Heeft u zich eerder al geregistreerd voor een boek met online toegang via extras.bsl.nl? Dan kunt u inloggen met uw bestaande e-mailadres en wachtwoord, waarna u gevraagd wordt de activeringscode die voorin uw boek staat in te voeren. </w:t>
      </w:r>
      <w:hyperlink r:id="rId10" w:history="1">
        <w:r w:rsidRPr="00914527">
          <w:rPr>
            <w:rFonts w:ascii="Arial" w:eastAsia="Times New Roman" w:hAnsi="Arial" w:cs="Arial"/>
            <w:color w:val="2FB7E6"/>
            <w:sz w:val="18"/>
            <w:szCs w:val="18"/>
            <w:lang w:eastAsia="nl-NL"/>
          </w:rPr>
          <w:t>Klik hier</w:t>
        </w:r>
      </w:hyperlink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 xml:space="preserve"> om u het boek toe te voegen aan uw account.</w:t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> </w:t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> </w:t>
      </w:r>
    </w:p>
    <w:p w:rsidR="00914527" w:rsidRPr="00914527" w:rsidRDefault="00914527" w:rsidP="0091452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nl-NL"/>
        </w:rPr>
      </w:pPr>
      <w:r w:rsidRPr="00914527">
        <w:rPr>
          <w:rFonts w:ascii="Arial" w:eastAsia="Times New Roman" w:hAnsi="Arial" w:cs="Arial"/>
          <w:color w:val="454545"/>
          <w:sz w:val="18"/>
          <w:szCs w:val="18"/>
          <w:lang w:eastAsia="nl-N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100"/>
        <w:gridCol w:w="2100"/>
      </w:tblGrid>
      <w:tr w:rsidR="00914527" w:rsidRPr="00914527" w:rsidTr="00914527">
        <w:tc>
          <w:tcPr>
            <w:tcW w:w="0" w:type="auto"/>
            <w:vAlign w:val="center"/>
            <w:hideMark/>
          </w:tcPr>
          <w:p w:rsidR="00914527" w:rsidRPr="00914527" w:rsidRDefault="00914527" w:rsidP="0091452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nl-NL"/>
              </w:rPr>
            </w:pPr>
            <w:r w:rsidRPr="00914527">
              <w:rPr>
                <w:rFonts w:ascii="Arial" w:eastAsia="Times New Roman" w:hAnsi="Arial" w:cs="Arial"/>
                <w:color w:val="454545"/>
                <w:sz w:val="18"/>
                <w:szCs w:val="18"/>
                <w:lang w:eastAsia="nl-NL"/>
              </w:rPr>
              <w:t>                                                </w:t>
            </w:r>
          </w:p>
        </w:tc>
        <w:tc>
          <w:tcPr>
            <w:tcW w:w="0" w:type="auto"/>
            <w:vAlign w:val="center"/>
            <w:hideMark/>
          </w:tcPr>
          <w:p w:rsidR="00914527" w:rsidRPr="00914527" w:rsidRDefault="00914527" w:rsidP="0091452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nl-NL"/>
              </w:rPr>
            </w:pPr>
            <w:r w:rsidRPr="00914527">
              <w:rPr>
                <w:rFonts w:ascii="Arial" w:eastAsia="Times New Roman" w:hAnsi="Arial" w:cs="Arial"/>
                <w:noProof/>
                <w:color w:val="2FB7E6"/>
                <w:sz w:val="18"/>
                <w:szCs w:val="18"/>
                <w:lang w:eastAsia="nl-NL"/>
              </w:rPr>
              <w:drawing>
                <wp:inline distT="0" distB="0" distL="0" distR="0" wp14:anchorId="3CD71B55" wp14:editId="30E3F73B">
                  <wp:extent cx="1310640" cy="243840"/>
                  <wp:effectExtent l="0" t="0" r="3810" b="3810"/>
                  <wp:docPr id="2" name="Afbeelding 2" descr="Knop Registrer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op Registrer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4527" w:rsidRPr="00914527" w:rsidRDefault="00914527" w:rsidP="0091452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nl-NL"/>
              </w:rPr>
            </w:pPr>
            <w:r w:rsidRPr="00914527">
              <w:rPr>
                <w:rFonts w:ascii="Arial" w:eastAsia="Times New Roman" w:hAnsi="Arial" w:cs="Arial"/>
                <w:noProof/>
                <w:color w:val="2FB7E6"/>
                <w:sz w:val="18"/>
                <w:szCs w:val="18"/>
                <w:lang w:eastAsia="nl-NL"/>
              </w:rPr>
              <w:drawing>
                <wp:inline distT="0" distB="0" distL="0" distR="0" wp14:anchorId="23406C8A" wp14:editId="1F78CC46">
                  <wp:extent cx="1310640" cy="243840"/>
                  <wp:effectExtent l="0" t="0" r="3810" b="3810"/>
                  <wp:docPr id="3" name="Afbeelding 3" descr="Inloggen kno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loggen kno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D99" w:rsidRPr="00DC3D99" w:rsidRDefault="00DC3D99">
      <w:pPr>
        <w:rPr>
          <w:rFonts w:ascii="Arial" w:hAnsi="Arial" w:cs="Arial"/>
        </w:rPr>
      </w:pPr>
    </w:p>
    <w:sectPr w:rsidR="00DC3D99" w:rsidRPr="00DC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EB" w:rsidRDefault="00E854EB" w:rsidP="00DE57AB">
      <w:pPr>
        <w:spacing w:after="0" w:line="240" w:lineRule="auto"/>
      </w:pPr>
      <w:r>
        <w:separator/>
      </w:r>
    </w:p>
  </w:endnote>
  <w:endnote w:type="continuationSeparator" w:id="0">
    <w:p w:rsidR="00E854EB" w:rsidRDefault="00E854EB" w:rsidP="00DE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EB" w:rsidRDefault="00E854EB" w:rsidP="00DE57AB">
      <w:pPr>
        <w:spacing w:after="0" w:line="240" w:lineRule="auto"/>
      </w:pPr>
      <w:r>
        <w:separator/>
      </w:r>
    </w:p>
  </w:footnote>
  <w:footnote w:type="continuationSeparator" w:id="0">
    <w:p w:rsidR="00E854EB" w:rsidRDefault="00E854EB" w:rsidP="00DE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9A"/>
    <w:multiLevelType w:val="multilevel"/>
    <w:tmpl w:val="DB5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B21EE"/>
    <w:multiLevelType w:val="hybridMultilevel"/>
    <w:tmpl w:val="B9A68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5AB1"/>
    <w:multiLevelType w:val="multilevel"/>
    <w:tmpl w:val="202C7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9"/>
    <w:rsid w:val="002A2A7A"/>
    <w:rsid w:val="003D2A81"/>
    <w:rsid w:val="005B26F1"/>
    <w:rsid w:val="00914527"/>
    <w:rsid w:val="00A340F7"/>
    <w:rsid w:val="00C82A91"/>
    <w:rsid w:val="00D004DA"/>
    <w:rsid w:val="00D07648"/>
    <w:rsid w:val="00DC3D99"/>
    <w:rsid w:val="00DE57AB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1F7"/>
  <w15:chartTrackingRefBased/>
  <w15:docId w15:val="{513B70A2-8DC5-46E4-A4E2-8BFB6091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3D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3D99"/>
    <w:pPr>
      <w:ind w:left="720"/>
      <w:contextualSpacing/>
    </w:pPr>
  </w:style>
  <w:style w:type="table" w:styleId="Tabelraster">
    <w:name w:val="Table Grid"/>
    <w:basedOn w:val="Standaardtabel"/>
    <w:uiPriority w:val="39"/>
    <w:rsid w:val="00D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7AB"/>
  </w:style>
  <w:style w:type="paragraph" w:styleId="Voettekst">
    <w:name w:val="footer"/>
    <w:basedOn w:val="Standaard"/>
    <w:link w:val="VoettekstChar"/>
    <w:uiPriority w:val="99"/>
    <w:unhideWhenUsed/>
    <w:rsid w:val="00DE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21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794">
                  <w:marLeft w:val="0"/>
                  <w:marRight w:val="0"/>
                  <w:marTop w:val="0"/>
                  <w:marBottom w:val="0"/>
                  <w:divBdr>
                    <w:top w:val="single" w:sz="12" w:space="11" w:color="454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9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2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1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9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6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nvn.nl/themas/richtlijnen-en-protocollen/protocolle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th.extras.bsl.nl/gebruiker/ext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h.extras.bsl.nl/gebruiker/inlog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naam</dc:creator>
  <cp:keywords/>
  <dc:description/>
  <cp:lastModifiedBy>Uw naam</cp:lastModifiedBy>
  <cp:revision>6</cp:revision>
  <dcterms:created xsi:type="dcterms:W3CDTF">2018-01-19T08:41:00Z</dcterms:created>
  <dcterms:modified xsi:type="dcterms:W3CDTF">2018-01-19T09:00:00Z</dcterms:modified>
</cp:coreProperties>
</file>